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E4" w:rsidRDefault="009C23E4" w:rsidP="009C23E4">
      <w:pPr>
        <w:pStyle w:val="ConsPlusTitle"/>
        <w:jc w:val="center"/>
      </w:pPr>
    </w:p>
    <w:p w:rsidR="009C23E4" w:rsidRDefault="009C23E4" w:rsidP="009C23E4">
      <w:pPr>
        <w:pStyle w:val="ConsPlusTitle"/>
        <w:jc w:val="center"/>
      </w:pPr>
      <w:bookmarkStart w:id="0" w:name="_GoBack"/>
      <w:r>
        <w:t xml:space="preserve">ЦЕЛЕВЫЕ ЗНАЧЕНИЯ КРИТЕРИЕВ </w:t>
      </w:r>
      <w:bookmarkEnd w:id="0"/>
      <w:r>
        <w:t>ДОСТУПНОСТИ И КАЧЕСТВА</w:t>
      </w:r>
    </w:p>
    <w:p w:rsidR="009C23E4" w:rsidRDefault="009C23E4" w:rsidP="009C23E4">
      <w:pPr>
        <w:pStyle w:val="ConsPlusTitle"/>
        <w:jc w:val="center"/>
      </w:pPr>
      <w:r>
        <w:t>МЕДИЦИНСКОЙ ПОМОЩИ, ОКАЗЫВАЕМОЙ В РАМКАХ ТЕРРИТОРИАЛЬНОЙ</w:t>
      </w:r>
    </w:p>
    <w:p w:rsidR="009C23E4" w:rsidRDefault="009C23E4" w:rsidP="009C23E4">
      <w:pPr>
        <w:pStyle w:val="ConsPlusTitle"/>
        <w:jc w:val="center"/>
      </w:pPr>
      <w:r>
        <w:t>ПРОГРАММЫ ГОСУДАРСТВЕННЫХ ГАРАНТИЙ БЕСПЛАТНОГО ОКАЗАНИЯ</w:t>
      </w:r>
    </w:p>
    <w:p w:rsidR="009C23E4" w:rsidRDefault="009C23E4" w:rsidP="009C23E4">
      <w:pPr>
        <w:pStyle w:val="ConsPlusTitle"/>
        <w:jc w:val="center"/>
      </w:pPr>
      <w:r>
        <w:t>ГРАЖДАНАМ МЕДИЦИНСКОЙ ПОМОЩИ В КРАСНОЯРСКОМ КРАЕ НА 2025 ГОД</w:t>
      </w:r>
    </w:p>
    <w:p w:rsidR="009C23E4" w:rsidRDefault="009C23E4" w:rsidP="009C23E4">
      <w:pPr>
        <w:pStyle w:val="ConsPlusTitle"/>
        <w:jc w:val="center"/>
      </w:pPr>
      <w:r>
        <w:t>И НА ПЛАНОВЫЙ ПЕРИОД 2026 И 2027 ГОДОВ</w:t>
      </w:r>
    </w:p>
    <w:p w:rsidR="009C23E4" w:rsidRDefault="009C2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628"/>
        <w:gridCol w:w="1774"/>
        <w:gridCol w:w="925"/>
        <w:gridCol w:w="925"/>
        <w:gridCol w:w="926"/>
      </w:tblGrid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N</w:t>
            </w:r>
          </w:p>
          <w:p w:rsidR="009C23E4" w:rsidRDefault="009C23E4" w:rsidP="00C61DA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2027 г.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178" w:type="dxa"/>
            <w:gridSpan w:val="5"/>
          </w:tcPr>
          <w:p w:rsidR="009C23E4" w:rsidRDefault="009C23E4" w:rsidP="00C61DA8">
            <w:pPr>
              <w:pStyle w:val="ConsPlusNormal"/>
            </w:pPr>
            <w:r>
              <w:t>Критерии доступности медицинской помощи: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Удовлетворенность населения доступностью медицинской помощи, в том числе:</w:t>
            </w:r>
          </w:p>
        </w:tc>
        <w:tc>
          <w:tcPr>
            <w:tcW w:w="1774" w:type="dxa"/>
            <w:vMerge w:val="restart"/>
          </w:tcPr>
          <w:p w:rsidR="009C23E4" w:rsidRDefault="009C23E4" w:rsidP="00C61DA8">
            <w:pPr>
              <w:pStyle w:val="ConsPlusNormal"/>
            </w:pPr>
            <w:r>
              <w:t>процентов от числа опрошенных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55,6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774" w:type="dxa"/>
            <w:vMerge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55,6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774" w:type="dxa"/>
            <w:vMerge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55,6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2025 год и на плановый период 2026 и 2027 годов (далее - Территориальная программа)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7,8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1.3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2,4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1.4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54,0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1.6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человек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1.7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человек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1.8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1.9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1.10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детей в возрасте от 2 до 17 лет с диагнозом "сахарный диабет", обеспеченных медицинскими изделиями для непрерывного </w:t>
            </w:r>
            <w:r>
              <w:lastRenderedPageBreak/>
              <w:t>мониторинга уровня глюкозы в крови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Число случаев госпитализации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случаев госпитализации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87,0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1.13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число операций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143,0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8178" w:type="dxa"/>
            <w:gridSpan w:val="5"/>
          </w:tcPr>
          <w:p w:rsidR="009C23E4" w:rsidRDefault="009C23E4" w:rsidP="00C61DA8">
            <w:pPr>
              <w:pStyle w:val="ConsPlusNormal"/>
            </w:pPr>
            <w:r>
              <w:t>Критерии качества медицинской помощи: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2.3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4,75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2.4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0,42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2.5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со злокачественными новообразованиями, взятых под диспансерное наблюдение, в общем количестве пациентов со </w:t>
            </w:r>
            <w:r>
              <w:lastRenderedPageBreak/>
              <w:t>злокачественными новообразованиями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94,0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2.7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имеющим показания к ее проведению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2.8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2.9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2.10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</w:t>
            </w:r>
            <w:r>
              <w:lastRenderedPageBreak/>
              <w:t>региональные сосудистые центры пациентов с острыми цереброваскулярными болезнями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5,8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2.13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6,5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2.14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95,0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2.15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2.16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здоровья, в том числе:</w:t>
            </w:r>
          </w:p>
        </w:tc>
        <w:tc>
          <w:tcPr>
            <w:tcW w:w="1774" w:type="dxa"/>
            <w:vMerge w:val="restart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2.16.1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женщин</w:t>
            </w:r>
          </w:p>
        </w:tc>
        <w:tc>
          <w:tcPr>
            <w:tcW w:w="1774" w:type="dxa"/>
            <w:vMerge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2.16.2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мужчин</w:t>
            </w:r>
          </w:p>
        </w:tc>
        <w:tc>
          <w:tcPr>
            <w:tcW w:w="1774" w:type="dxa"/>
            <w:vMerge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2.17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Доля пациентов, обследованных перед проведением вспомогательных репродуктивных технологий в соответствие с </w:t>
            </w:r>
            <w:r>
              <w:lastRenderedPageBreak/>
              <w:t>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2.18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циклов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2.19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24,0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2.20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16,0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единиц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легких", в год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75,0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2.23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85,0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2.24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в год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2.25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 xml:space="preserve">Охват диспансерным наблюдением граждан, состоящих на учете в </w:t>
            </w:r>
            <w:r>
              <w:lastRenderedPageBreak/>
              <w:t>медицинской организации с диагнозом "сахарный диабет", в год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lastRenderedPageBreak/>
              <w:t>2.26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на 100 тыс. населения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86,1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2.27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100,0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2.28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процентов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70,0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Эффективность деятельности медицинских организаций: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</w:pP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</w:pP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функция врачебной должности: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посещений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2.29.1.1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посещений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2.29.1.2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посещений в год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3700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число дней работы койки в году: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дней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333,0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2.29.2.1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дней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336,5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336,5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336,5</w:t>
            </w:r>
          </w:p>
        </w:tc>
      </w:tr>
      <w:tr w:rsidR="009C23E4" w:rsidTr="00C61DA8">
        <w:tc>
          <w:tcPr>
            <w:tcW w:w="904" w:type="dxa"/>
          </w:tcPr>
          <w:p w:rsidR="009C23E4" w:rsidRDefault="009C23E4" w:rsidP="00C61DA8">
            <w:pPr>
              <w:pStyle w:val="ConsPlusNormal"/>
            </w:pPr>
            <w:r>
              <w:t>2.29.2.2</w:t>
            </w:r>
          </w:p>
        </w:tc>
        <w:tc>
          <w:tcPr>
            <w:tcW w:w="3628" w:type="dxa"/>
          </w:tcPr>
          <w:p w:rsidR="009C23E4" w:rsidRDefault="009C23E4" w:rsidP="00C61DA8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774" w:type="dxa"/>
          </w:tcPr>
          <w:p w:rsidR="009C23E4" w:rsidRDefault="009C23E4" w:rsidP="00C61DA8">
            <w:pPr>
              <w:pStyle w:val="ConsPlusNormal"/>
            </w:pPr>
            <w:r>
              <w:t>дней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324,8</w:t>
            </w:r>
          </w:p>
        </w:tc>
        <w:tc>
          <w:tcPr>
            <w:tcW w:w="925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324,8</w:t>
            </w:r>
          </w:p>
        </w:tc>
        <w:tc>
          <w:tcPr>
            <w:tcW w:w="926" w:type="dxa"/>
          </w:tcPr>
          <w:p w:rsidR="009C23E4" w:rsidRDefault="009C23E4" w:rsidP="00C61DA8">
            <w:pPr>
              <w:pStyle w:val="ConsPlusNormal"/>
              <w:jc w:val="center"/>
            </w:pPr>
            <w:r>
              <w:t>324,8</w:t>
            </w:r>
          </w:p>
        </w:tc>
      </w:tr>
    </w:tbl>
    <w:p w:rsidR="009C23E4" w:rsidRDefault="009C23E4"/>
    <w:sectPr w:rsidR="009C23E4" w:rsidSect="009C23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E4"/>
    <w:rsid w:val="009C23E4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2288-0C58-4DC7-856E-9F523D0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Достовалов Виктор Владимирович</dc:creator>
  <cp:keywords/>
  <dc:description/>
  <cp:lastModifiedBy>Достовалов Виктор Владимирович</cp:lastModifiedBy>
  <cp:revision>1</cp:revision>
  <dcterms:created xsi:type="dcterms:W3CDTF">2025-05-07T08:27:00Z</dcterms:created>
  <dcterms:modified xsi:type="dcterms:W3CDTF">2025-05-07T08:29:00Z</dcterms:modified>
</cp:coreProperties>
</file>